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B2" w:rsidRDefault="00EC31B2" w:rsidP="00EC31B2">
      <w:pPr>
        <w:pStyle w:val="Heading1"/>
        <w:numPr>
          <w:ilvl w:val="0"/>
          <w:numId w:val="0"/>
        </w:numPr>
        <w:ind w:left="432"/>
        <w:rPr>
          <w:rFonts w:eastAsia="Times New Roman"/>
        </w:rPr>
      </w:pPr>
      <w:bookmarkStart w:id="0" w:name="_Toc178676113"/>
      <w:r>
        <w:rPr>
          <w:rFonts w:eastAsia="Times New Roman"/>
        </w:rPr>
        <w:t>MN-CMS EHR Remote Hosted Option (RHO) and Code Upgrade Project (2023)</w:t>
      </w:r>
      <w:bookmarkEnd w:id="0"/>
    </w:p>
    <w:p w:rsidR="00815CB6" w:rsidRDefault="00815CB6" w:rsidP="00EC31B2">
      <w:pPr>
        <w:jc w:val="both"/>
      </w:pPr>
    </w:p>
    <w:p w:rsidR="00EC31B2" w:rsidRPr="00BA204C" w:rsidRDefault="00EC31B2" w:rsidP="00EC31B2">
      <w:pPr>
        <w:jc w:val="both"/>
      </w:pPr>
      <w:r w:rsidRPr="00BA204C">
        <w:t xml:space="preserve">On </w:t>
      </w:r>
      <w:proofErr w:type="gramStart"/>
      <w:r w:rsidRPr="00BA204C">
        <w:t>28th</w:t>
      </w:r>
      <w:proofErr w:type="gramEnd"/>
      <w:r w:rsidRPr="00BA204C">
        <w:t xml:space="preserve"> August 2023 the </w:t>
      </w:r>
      <w:r>
        <w:t>MN-CMS EHR</w:t>
      </w:r>
      <w:r w:rsidRPr="00BA204C">
        <w:t xml:space="preserve"> code-base was upgraded to the latest version (2018) thereby providing the most up to date version of software available and simultaneously moved to a Technology Managed Service </w:t>
      </w:r>
      <w:r w:rsidRPr="00BA204C">
        <w:rPr>
          <w:b/>
        </w:rPr>
        <w:t>(TMS)</w:t>
      </w:r>
      <w:r w:rsidRPr="00BA204C">
        <w:t xml:space="preserve"> hosted in Sweden i.e. a Remote Hosted Option </w:t>
      </w:r>
      <w:r w:rsidRPr="00BA204C">
        <w:rPr>
          <w:b/>
        </w:rPr>
        <w:t>(RHO).</w:t>
      </w:r>
      <w:r w:rsidRPr="00BA204C">
        <w:t xml:space="preserve"> </w:t>
      </w:r>
    </w:p>
    <w:p w:rsidR="00EC31B2" w:rsidRPr="00BA204C" w:rsidRDefault="00EC31B2" w:rsidP="00EC31B2">
      <w:pPr>
        <w:rPr>
          <w:b/>
        </w:rPr>
      </w:pPr>
    </w:p>
    <w:p w:rsidR="00EC31B2" w:rsidRPr="00BA204C" w:rsidRDefault="00EC31B2" w:rsidP="00EC31B2">
      <w:pPr>
        <w:rPr>
          <w:b/>
        </w:rPr>
      </w:pPr>
      <w:r w:rsidRPr="00BA204C">
        <w:rPr>
          <w:b/>
        </w:rPr>
        <w:t>Background</w:t>
      </w:r>
    </w:p>
    <w:p w:rsidR="00EC31B2" w:rsidRPr="00BA204C" w:rsidRDefault="00EC31B2" w:rsidP="00EC31B2">
      <w:pPr>
        <w:jc w:val="both"/>
        <w:rPr>
          <w:b/>
        </w:rPr>
      </w:pPr>
      <w:r w:rsidRPr="00BA204C">
        <w:t xml:space="preserve">The hardware and Millennium code set underpinning the EHR was at the end of service life.  </w:t>
      </w:r>
    </w:p>
    <w:p w:rsidR="00EC31B2" w:rsidRPr="00BA204C" w:rsidRDefault="00EC31B2" w:rsidP="00EC31B2">
      <w:pPr>
        <w:jc w:val="both"/>
      </w:pPr>
      <w:r w:rsidRPr="00BA204C">
        <w:t xml:space="preserve">The cyber-attack on the HSE in May 2021 and further residual effects of the ransomware attack increased the risks of a technology failure in the aged technical stack platform. There was also a backlog of necessary clinical code changes that </w:t>
      </w:r>
      <w:proofErr w:type="gramStart"/>
      <w:r w:rsidRPr="00BA204C">
        <w:t>could not be implemented</w:t>
      </w:r>
      <w:proofErr w:type="gramEnd"/>
      <w:r w:rsidRPr="00BA204C">
        <w:t xml:space="preserve"> on the existing aged platform.  </w:t>
      </w:r>
    </w:p>
    <w:p w:rsidR="00EC31B2" w:rsidRPr="00BA204C" w:rsidRDefault="00EC31B2" w:rsidP="00EC31B2">
      <w:pPr>
        <w:jc w:val="both"/>
        <w:rPr>
          <w:b/>
        </w:rPr>
      </w:pPr>
      <w:proofErr w:type="gramStart"/>
      <w:r>
        <w:t xml:space="preserve">The </w:t>
      </w:r>
      <w:r w:rsidRPr="00BA204C">
        <w:t xml:space="preserve">HSE Board and the </w:t>
      </w:r>
      <w:r>
        <w:t>E</w:t>
      </w:r>
      <w:r w:rsidRPr="00BA204C">
        <w:t>xecutive</w:t>
      </w:r>
      <w:r>
        <w:t xml:space="preserve"> Management T</w:t>
      </w:r>
      <w:r w:rsidRPr="00BA204C">
        <w:t>eams</w:t>
      </w:r>
      <w:r w:rsidRPr="002C0DF3">
        <w:t xml:space="preserve"> </w:t>
      </w:r>
      <w:r w:rsidRPr="00BA204C">
        <w:t xml:space="preserve">approved the </w:t>
      </w:r>
      <w:r>
        <w:t>MN-CMS EHR</w:t>
      </w:r>
      <w:r w:rsidRPr="00BA204C">
        <w:t xml:space="preserve"> Program</w:t>
      </w:r>
      <w:r>
        <w:t xml:space="preserve">me </w:t>
      </w:r>
      <w:r w:rsidRPr="00BA204C">
        <w:t>move to RHO provided by Cerner with up to date hardware and software; taking advantage of the full mitigation of the technology risk and key technology personnel dependencies in addition to moving to a TMS contract which includes hardened and explicit responsibilities for Cerner and any Cerner 3rd party Vendor</w:t>
      </w:r>
      <w:proofErr w:type="gramEnd"/>
      <w:r w:rsidRPr="00BA204C">
        <w:t xml:space="preserve"> </w:t>
      </w:r>
    </w:p>
    <w:p w:rsidR="00EC31B2" w:rsidRPr="00BA204C" w:rsidRDefault="00EC31B2" w:rsidP="00EC31B2">
      <w:pPr>
        <w:jc w:val="both"/>
      </w:pPr>
      <w:r w:rsidRPr="00BA204C">
        <w:rPr>
          <w:bCs/>
        </w:rPr>
        <w:t xml:space="preserve">With that agreement in </w:t>
      </w:r>
      <w:proofErr w:type="gramStart"/>
      <w:r w:rsidRPr="00BA204C">
        <w:rPr>
          <w:bCs/>
        </w:rPr>
        <w:t>place</w:t>
      </w:r>
      <w:proofErr w:type="gramEnd"/>
      <w:r w:rsidRPr="00BA204C">
        <w:rPr>
          <w:bCs/>
        </w:rPr>
        <w:t xml:space="preserve"> the MN-CMS EHR Programme upgraded its code-base to the latest version (2018) through a robust project management methodology resulting in the provision of the most up to date version of software available</w:t>
      </w:r>
      <w:r w:rsidRPr="00BA204C">
        <w:t xml:space="preserve"> </w:t>
      </w:r>
      <w:r>
        <w:t xml:space="preserve">ensuring </w:t>
      </w:r>
      <w:r w:rsidRPr="00BA204C">
        <w:t>that MN-CMS EHR can leverage Continuous Delivery to improve user experience.</w:t>
      </w:r>
    </w:p>
    <w:p w:rsidR="00EC31B2" w:rsidRDefault="00EC31B2" w:rsidP="00EC31B2">
      <w:pPr>
        <w:jc w:val="both"/>
        <w:rPr>
          <w:rFonts w:cstheme="minorHAnsi"/>
          <w:b/>
          <w:color w:val="000000"/>
        </w:rPr>
      </w:pPr>
    </w:p>
    <w:p w:rsidR="00EC31B2" w:rsidRPr="00BA204C" w:rsidRDefault="00EC31B2" w:rsidP="00EC31B2">
      <w:pPr>
        <w:jc w:val="both"/>
        <w:rPr>
          <w:rFonts w:cstheme="minorHAnsi"/>
        </w:rPr>
      </w:pPr>
      <w:r w:rsidRPr="00BA204C">
        <w:rPr>
          <w:rFonts w:cstheme="minorHAnsi"/>
          <w:b/>
          <w:color w:val="000000"/>
        </w:rPr>
        <w:t>The 2018-Code Upgrade</w:t>
      </w:r>
      <w:r w:rsidRPr="00BA204C">
        <w:rPr>
          <w:rFonts w:cstheme="minorHAnsi"/>
          <w:color w:val="000000"/>
        </w:rPr>
        <w:t xml:space="preserve"> was </w:t>
      </w:r>
      <w:r w:rsidRPr="00BA204C">
        <w:rPr>
          <w:rFonts w:eastAsia="+mn-ea" w:cstheme="minorHAnsi"/>
          <w:lang w:val="en-US"/>
        </w:rPr>
        <w:t>mostly a stability and technological upgrade to provide the foundation for functionality improvements to the MN-CMS EHR</w:t>
      </w:r>
      <w:r w:rsidRPr="00BA204C">
        <w:rPr>
          <w:rFonts w:cstheme="minorHAnsi"/>
        </w:rPr>
        <w:t xml:space="preserve">. It underpinned clinical </w:t>
      </w:r>
      <w:r w:rsidR="00C51854" w:rsidRPr="00BA204C">
        <w:rPr>
          <w:rFonts w:cstheme="minorHAnsi"/>
        </w:rPr>
        <w:t>improvements, which had been identified by the national and local MN-CMS EHR teams,</w:t>
      </w:r>
      <w:r w:rsidRPr="00BA204C">
        <w:rPr>
          <w:rFonts w:cstheme="minorHAnsi"/>
        </w:rPr>
        <w:t xml:space="preserve"> but which </w:t>
      </w:r>
      <w:proofErr w:type="gramStart"/>
      <w:r w:rsidRPr="00BA204C">
        <w:rPr>
          <w:rFonts w:cstheme="minorHAnsi"/>
        </w:rPr>
        <w:t>could not be applied</w:t>
      </w:r>
      <w:proofErr w:type="gramEnd"/>
      <w:r w:rsidRPr="00BA204C">
        <w:rPr>
          <w:rFonts w:cstheme="minorHAnsi"/>
        </w:rPr>
        <w:t xml:space="preserve"> in the existing software version (2015) and it also embedded corrections and </w:t>
      </w:r>
      <w:r w:rsidR="00C51854" w:rsidRPr="00BA204C">
        <w:rPr>
          <w:rFonts w:cstheme="minorHAnsi"/>
        </w:rPr>
        <w:t>enhancements that</w:t>
      </w:r>
      <w:r w:rsidRPr="00BA204C">
        <w:rPr>
          <w:rFonts w:cstheme="minorHAnsi"/>
        </w:rPr>
        <w:t xml:space="preserve"> had been identified and developed by Cerner.  This upgrade also enabled the MN-CMS EHR to avail of the Cerner strategy of cloud </w:t>
      </w:r>
      <w:r w:rsidR="00C51854" w:rsidRPr="00BA204C">
        <w:rPr>
          <w:rFonts w:cstheme="minorHAnsi"/>
        </w:rPr>
        <w:t>enablement, which</w:t>
      </w:r>
      <w:r w:rsidRPr="00BA204C">
        <w:rPr>
          <w:rFonts w:cstheme="minorHAnsi"/>
        </w:rPr>
        <w:t xml:space="preserve"> facilitates a streamlined pathway for future code upgrades. </w:t>
      </w:r>
      <w:r w:rsidRPr="00BA204C">
        <w:t xml:space="preserve">The Code upgrade occurred while simultaneously moving to a </w:t>
      </w:r>
      <w:r>
        <w:t>TMS</w:t>
      </w:r>
      <w:r w:rsidRPr="00BA204C">
        <w:t xml:space="preserve"> hosted in Sweden. </w:t>
      </w:r>
    </w:p>
    <w:p w:rsidR="00EC31B2" w:rsidRDefault="00EC31B2" w:rsidP="00EC31B2">
      <w:pPr>
        <w:jc w:val="both"/>
        <w:rPr>
          <w:rFonts w:cstheme="minorHAnsi"/>
          <w:b/>
        </w:rPr>
      </w:pPr>
    </w:p>
    <w:p w:rsidR="00EC31B2" w:rsidRPr="00BA204C" w:rsidRDefault="00EC31B2" w:rsidP="00EC31B2">
      <w:pPr>
        <w:jc w:val="both"/>
      </w:pPr>
      <w:r w:rsidRPr="00BA204C">
        <w:rPr>
          <w:rFonts w:cstheme="minorHAnsi"/>
          <w:b/>
        </w:rPr>
        <w:t>The RHO flip</w:t>
      </w:r>
      <w:r w:rsidRPr="00BA204C">
        <w:rPr>
          <w:rFonts w:cstheme="minorHAnsi"/>
          <w:kern w:val="28"/>
        </w:rPr>
        <w:t xml:space="preserve"> provided new </w:t>
      </w:r>
      <w:proofErr w:type="gramStart"/>
      <w:r w:rsidRPr="00BA204C">
        <w:rPr>
          <w:rFonts w:cstheme="minorHAnsi"/>
          <w:kern w:val="28"/>
        </w:rPr>
        <w:t>infrastructure which</w:t>
      </w:r>
      <w:proofErr w:type="gramEnd"/>
      <w:r w:rsidRPr="00BA204C">
        <w:rPr>
          <w:rFonts w:cstheme="minorHAnsi"/>
          <w:kern w:val="28"/>
        </w:rPr>
        <w:t xml:space="preserve"> will be refreshed on an on-going basis eliminating the need for regular hardware refresh cycles.  This </w:t>
      </w:r>
      <w:r w:rsidRPr="00BA204C">
        <w:rPr>
          <w:rFonts w:cstheme="minorHAnsi"/>
        </w:rPr>
        <w:t>brought with it the benefits of 99.9% availability with continuous refresh of the underlying infrastructure</w:t>
      </w:r>
      <w:r w:rsidRPr="00BA204C">
        <w:rPr>
          <w:rFonts w:eastAsia="Microsoft JhengHei Light"/>
        </w:rPr>
        <w:t xml:space="preserve">. It is GDPR compliant with updated </w:t>
      </w:r>
      <w:r>
        <w:rPr>
          <w:rFonts w:eastAsia="Microsoft JhengHei Light"/>
        </w:rPr>
        <w:t>Data Privacy Impact Assessment (</w:t>
      </w:r>
      <w:r w:rsidRPr="00BA204C">
        <w:rPr>
          <w:rFonts w:eastAsia="Microsoft JhengHei Light"/>
        </w:rPr>
        <w:t>DPIA</w:t>
      </w:r>
      <w:r>
        <w:rPr>
          <w:rFonts w:eastAsia="Microsoft JhengHei Light"/>
        </w:rPr>
        <w:t>)</w:t>
      </w:r>
      <w:r w:rsidRPr="00BA204C">
        <w:rPr>
          <w:rFonts w:eastAsia="Microsoft JhengHei Light"/>
        </w:rPr>
        <w:t xml:space="preserve"> and has Oracle Cerner industry standard security tooling to ensure detection and prevention of security events</w:t>
      </w:r>
      <w:r w:rsidRPr="00BA204C">
        <w:t xml:space="preserve"> with Disaster Recovery (DR) fully </w:t>
      </w:r>
      <w:proofErr w:type="gramStart"/>
      <w:r w:rsidRPr="00BA204C">
        <w:t>synced</w:t>
      </w:r>
      <w:proofErr w:type="gramEnd"/>
      <w:r w:rsidRPr="00BA204C">
        <w:t xml:space="preserve"> with </w:t>
      </w:r>
      <w:r>
        <w:t>MN-CMS EHR</w:t>
      </w:r>
      <w:r w:rsidRPr="00BA204C">
        <w:t>.</w:t>
      </w:r>
      <w:r w:rsidRPr="00BA204C">
        <w:rPr>
          <w:rFonts w:eastAsia="Microsoft JhengHei Light" w:hint="eastAsia"/>
        </w:rPr>
        <w:t xml:space="preserve"> </w:t>
      </w:r>
    </w:p>
    <w:p w:rsidR="00EC31B2" w:rsidRDefault="00EC31B2" w:rsidP="00EC31B2"/>
    <w:p w:rsidR="00EC31B2" w:rsidRPr="00C51854" w:rsidRDefault="00C51854" w:rsidP="00EC31B2">
      <w:pPr>
        <w:rPr>
          <w:b/>
        </w:rPr>
      </w:pPr>
      <w:r w:rsidRPr="00C51854">
        <w:rPr>
          <w:b/>
        </w:rPr>
        <w:t xml:space="preserve">Benefits </w:t>
      </w:r>
    </w:p>
    <w:p w:rsidR="00EC31B2" w:rsidRDefault="00C51854" w:rsidP="00EC31B2">
      <w:r>
        <w:t xml:space="preserve">The following are a sample of the benefits realised 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>‘Continuous Delivery’ can be leveraged to improve user experience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 xml:space="preserve">The RHO Flip brings with it the benefits of 99.9% availability  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>Up-to-date hardware, operating systems and layered technology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 xml:space="preserve">Cerner security tooling to ensure strengthened cyber security leveraging their layered security model 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>Disaster Recovery (DR) system is fully synched with the live system</w:t>
      </w:r>
    </w:p>
    <w:p w:rsidR="00C51854" w:rsidRDefault="00C51854" w:rsidP="00C51854"/>
    <w:p w:rsidR="00C51854" w:rsidRDefault="00C51854" w:rsidP="00C51854">
      <w:pPr>
        <w:pStyle w:val="ListParagraph"/>
        <w:numPr>
          <w:ilvl w:val="0"/>
          <w:numId w:val="2"/>
        </w:numPr>
      </w:pPr>
      <w:r>
        <w:lastRenderedPageBreak/>
        <w:t>With ‘Enable Continuous Scrolling’ ticked – a patients history and the patients notes may be read one after the other</w:t>
      </w:r>
    </w:p>
    <w:p w:rsidR="00C51854" w:rsidRPr="00C51854" w:rsidRDefault="00C51854" w:rsidP="00C51854">
      <w:pPr>
        <w:pStyle w:val="ListParagraph"/>
        <w:numPr>
          <w:ilvl w:val="0"/>
          <w:numId w:val="2"/>
        </w:numPr>
      </w:pPr>
      <w:r w:rsidRPr="00C51854">
        <w:t>The look of the chart will improve – where multiple meds are given in theatre they now appear in greyed consecutive lines they appear on one line as they are given as all other meds do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 xml:space="preserve">If multiple meds are added from Quick Orders the order sentence </w:t>
      </w:r>
      <w:r>
        <w:t xml:space="preserve">selection and dose calculator </w:t>
      </w:r>
      <w:r>
        <w:t>details are confirmed in Quick Orders for each medication as they are added, reducing the possibility of a mix-up at the ‘Modify Details’ stage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 xml:space="preserve">When meds are ordered from a CarePlan; the name of the CarePlan now displays directly over orders on the signing page, reducing the chance of a mix-up 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>On the MPTL there is red writing where the name alert has fired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 xml:space="preserve">Lab order – full lab test names now displaying on the Whiteboard when you hover over the  field in the Lab column 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>The Antenatal Visits component will provide a link to any corresponding clinic visit note for that Antenatal visit. This will display as a hyper link on the ANV cards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>On the textual rendition of NICU admission form- GA at Birth now displays as weeks and days rather than days</w:t>
      </w:r>
    </w:p>
    <w:p w:rsidR="00C51854" w:rsidRDefault="00C51854" w:rsidP="00C51854">
      <w:pPr>
        <w:pStyle w:val="ListParagraph"/>
        <w:numPr>
          <w:ilvl w:val="0"/>
          <w:numId w:val="2"/>
        </w:numPr>
      </w:pPr>
      <w:r>
        <w:t>Reporting improvements</w:t>
      </w:r>
      <w:bookmarkStart w:id="1" w:name="_GoBack"/>
      <w:bookmarkEnd w:id="1"/>
    </w:p>
    <w:p w:rsidR="00C81468" w:rsidRDefault="00C81468"/>
    <w:sectPr w:rsidR="00C81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7B7E"/>
    <w:multiLevelType w:val="hybridMultilevel"/>
    <w:tmpl w:val="B816BF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928D4"/>
    <w:multiLevelType w:val="multilevel"/>
    <w:tmpl w:val="E7BCA8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Theme="majorHAnsi" w:hAnsiTheme="majorHAnsi" w:hint="default"/>
        <w:b/>
        <w:i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B2"/>
    <w:rsid w:val="00065CDC"/>
    <w:rsid w:val="00815CB6"/>
    <w:rsid w:val="00C51854"/>
    <w:rsid w:val="00C81468"/>
    <w:rsid w:val="00E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EF96"/>
  <w15:chartTrackingRefBased/>
  <w15:docId w15:val="{7143D81D-D84C-4190-8293-D92B95D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B2"/>
    <w:pPr>
      <w:spacing w:after="0" w:line="240" w:lineRule="auto"/>
    </w:pPr>
    <w:rPr>
      <w:rFonts w:eastAsia="Times New Roman" w:cs="Times New Roman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EC31B2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171A40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1B2"/>
    <w:rPr>
      <w:rFonts w:eastAsiaTheme="majorEastAsia" w:cstheme="majorBidi"/>
      <w:b/>
      <w:bCs/>
      <w:color w:val="171A40"/>
      <w:sz w:val="36"/>
      <w:szCs w:val="28"/>
      <w:lang w:eastAsia="en-IE"/>
    </w:rPr>
  </w:style>
  <w:style w:type="paragraph" w:styleId="ListParagraph">
    <w:name w:val="List Paragraph"/>
    <w:basedOn w:val="Normal"/>
    <w:uiPriority w:val="34"/>
    <w:qFormat/>
    <w:rsid w:val="00C5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Mullins</dc:creator>
  <cp:keywords/>
  <dc:description/>
  <cp:lastModifiedBy>Mary Mullins</cp:lastModifiedBy>
  <cp:revision>2</cp:revision>
  <dcterms:created xsi:type="dcterms:W3CDTF">2025-02-24T13:56:00Z</dcterms:created>
  <dcterms:modified xsi:type="dcterms:W3CDTF">2025-02-24T13:56:00Z</dcterms:modified>
</cp:coreProperties>
</file>