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027" w:rsidRDefault="00643027" w:rsidP="00643027">
      <w:pPr>
        <w:pStyle w:val="Heading1"/>
        <w:numPr>
          <w:ilvl w:val="0"/>
          <w:numId w:val="0"/>
        </w:numPr>
        <w:ind w:left="432" w:hanging="432"/>
      </w:pPr>
      <w:bookmarkStart w:id="0" w:name="_Toc178676117"/>
      <w:bookmarkStart w:id="1" w:name="_GoBack"/>
      <w:r>
        <w:t xml:space="preserve">MN-CMS EHR </w:t>
      </w:r>
      <w:r>
        <w:t>FetaLink Upgrade (Nov 2023)</w:t>
      </w:r>
      <w:bookmarkEnd w:id="0"/>
    </w:p>
    <w:bookmarkEnd w:id="1"/>
    <w:p w:rsidR="00643027" w:rsidRDefault="00643027" w:rsidP="00643027">
      <w:pPr>
        <w:spacing w:after="200"/>
        <w:jc w:val="both"/>
        <w:rPr>
          <w:rFonts w:eastAsiaTheme="minorHAnsi" w:cstheme="minorHAnsi"/>
          <w:shd w:val="clear" w:color="auto" w:fill="FFFFFF"/>
          <w:lang w:eastAsia="en-US"/>
        </w:rPr>
      </w:pPr>
    </w:p>
    <w:p w:rsidR="00643027" w:rsidRPr="00937A49" w:rsidRDefault="00643027" w:rsidP="00643027">
      <w:pPr>
        <w:spacing w:after="200"/>
        <w:jc w:val="both"/>
        <w:rPr>
          <w:rFonts w:eastAsiaTheme="minorHAnsi" w:cstheme="minorHAnsi"/>
          <w:lang w:eastAsia="en-US"/>
        </w:rPr>
      </w:pPr>
      <w:r w:rsidRPr="00937A49">
        <w:rPr>
          <w:rFonts w:eastAsiaTheme="minorHAnsi" w:cstheme="minorHAnsi"/>
          <w:shd w:val="clear" w:color="auto" w:fill="FFFFFF"/>
          <w:lang w:eastAsia="en-US"/>
        </w:rPr>
        <w:t>FetaLink is </w:t>
      </w:r>
      <w:r w:rsidRPr="00937A49">
        <w:rPr>
          <w:rFonts w:eastAsiaTheme="minorHAnsi" w:cstheme="minorHAnsi"/>
          <w:lang w:eastAsia="en-US"/>
        </w:rPr>
        <w:t xml:space="preserve">a Maternal and Foetal monitoring system that facilitates the flow of data from </w:t>
      </w:r>
      <w:r>
        <w:rPr>
          <w:rFonts w:eastAsiaTheme="minorHAnsi" w:cstheme="minorHAnsi"/>
          <w:lang w:eastAsia="en-US"/>
        </w:rPr>
        <w:t>bedside m</w:t>
      </w:r>
      <w:r w:rsidRPr="00937A49">
        <w:rPr>
          <w:rFonts w:eastAsiaTheme="minorHAnsi" w:cstheme="minorHAnsi"/>
          <w:lang w:eastAsia="en-US"/>
        </w:rPr>
        <w:t>edical devices within acute and outpatient settings</w:t>
      </w:r>
      <w:r w:rsidRPr="00937A49">
        <w:rPr>
          <w:rFonts w:eastAsiaTheme="minorHAnsi" w:cstheme="minorHAnsi"/>
          <w:shd w:val="clear" w:color="auto" w:fill="FFFFFF"/>
          <w:lang w:eastAsia="en-US"/>
        </w:rPr>
        <w:t>. The solution documents and provides a graphical display of the relationship between foetal heart rates and contraction data.</w:t>
      </w:r>
    </w:p>
    <w:p w:rsidR="00643027" w:rsidRPr="00937A49" w:rsidRDefault="00643027" w:rsidP="00643027">
      <w:pPr>
        <w:jc w:val="both"/>
        <w:rPr>
          <w:b/>
        </w:rPr>
      </w:pPr>
      <w:r w:rsidRPr="00937A49">
        <w:rPr>
          <w:b/>
        </w:rPr>
        <w:t xml:space="preserve">Background </w:t>
      </w:r>
    </w:p>
    <w:p w:rsidR="00643027" w:rsidRPr="00937A49" w:rsidRDefault="00643027" w:rsidP="00643027">
      <w:pPr>
        <w:spacing w:after="200"/>
        <w:jc w:val="both"/>
        <w:rPr>
          <w:rFonts w:eastAsiaTheme="minorHAnsi" w:cstheme="minorBidi"/>
          <w:lang w:eastAsia="en-US"/>
        </w:rPr>
      </w:pPr>
      <w:r w:rsidRPr="00937A49">
        <w:rPr>
          <w:rFonts w:eastAsiaTheme="minorHAnsi" w:cstheme="minorBidi"/>
          <w:lang w:eastAsia="en-US"/>
        </w:rPr>
        <w:t>The MN-CMS EHR FetaLink infrastructure, hardware and code level was end-of-life, out of support and required on-going remedial support.  The FetaLink upgrade was the final step in the Remote Hosted Option (RHO) and Code Upgrade Project.   The completion of the FetaLink project closes the risk around ageing infrastructure which was accepted on to the risk register of the HSE Chief Clinical Officer (CCO) and formally accepted by the CCO and Chief Financial Officer (CFO).</w:t>
      </w:r>
    </w:p>
    <w:p w:rsidR="00643027" w:rsidRPr="00937A49" w:rsidRDefault="00643027" w:rsidP="00643027">
      <w:pPr>
        <w:jc w:val="both"/>
        <w:rPr>
          <w:rFonts w:eastAsiaTheme="minorHAnsi" w:cstheme="minorBidi"/>
          <w:b/>
          <w:lang w:eastAsia="en-US"/>
        </w:rPr>
      </w:pPr>
      <w:r w:rsidRPr="00937A49">
        <w:rPr>
          <w:rFonts w:eastAsiaTheme="minorHAnsi" w:cstheme="minorBidi"/>
          <w:b/>
          <w:lang w:eastAsia="en-US"/>
        </w:rPr>
        <w:t xml:space="preserve">The FetaLink Upgrade </w:t>
      </w:r>
    </w:p>
    <w:p w:rsidR="00643027" w:rsidRPr="00937A49" w:rsidRDefault="00643027" w:rsidP="00643027">
      <w:pPr>
        <w:jc w:val="both"/>
        <w:rPr>
          <w:rFonts w:eastAsiaTheme="minorHAnsi" w:cstheme="minorBidi"/>
          <w:b/>
          <w:lang w:eastAsia="en-US"/>
        </w:rPr>
      </w:pPr>
      <w:r w:rsidRPr="00937A49">
        <w:rPr>
          <w:rFonts w:eastAsiaTheme="minorHAnsi" w:cstheme="minorBidi"/>
          <w:lang w:eastAsia="en-US"/>
        </w:rPr>
        <w:t xml:space="preserve">The FetaLink Upgrade Project, covered by CCN109, </w:t>
      </w:r>
      <w:proofErr w:type="gramStart"/>
      <w:r w:rsidRPr="00937A49">
        <w:rPr>
          <w:rFonts w:eastAsiaTheme="minorHAnsi" w:cstheme="minorBidi"/>
          <w:lang w:eastAsia="en-US"/>
        </w:rPr>
        <w:t>was intended</w:t>
      </w:r>
      <w:proofErr w:type="gramEnd"/>
      <w:r w:rsidRPr="00937A49">
        <w:rPr>
          <w:rFonts w:eastAsiaTheme="minorHAnsi" w:cstheme="minorBidi"/>
          <w:lang w:eastAsia="en-US"/>
        </w:rPr>
        <w:t xml:space="preserve"> to update the FetaLink solution, which was end of life and out of support, to FetaLink Version 200.07.5; this was a significant upgrade. It</w:t>
      </w:r>
      <w:r w:rsidRPr="00937A49">
        <w:rPr>
          <w:rFonts w:eastAsiaTheme="minorHAnsi" w:cstheme="minorBidi"/>
          <w:b/>
          <w:lang w:eastAsia="en-US"/>
        </w:rPr>
        <w:t xml:space="preserve"> </w:t>
      </w:r>
      <w:r w:rsidRPr="00937A49">
        <w:rPr>
          <w:rFonts w:eastAsiaTheme="minorHAnsi" w:cstheme="minorBidi"/>
          <w:lang w:eastAsia="en-US"/>
        </w:rPr>
        <w:t xml:space="preserve">was primarily composed of technical and testing </w:t>
      </w:r>
      <w:proofErr w:type="gramStart"/>
      <w:r w:rsidRPr="00937A49">
        <w:rPr>
          <w:rFonts w:eastAsiaTheme="minorHAnsi" w:cstheme="minorBidi"/>
          <w:lang w:eastAsia="en-US"/>
        </w:rPr>
        <w:t>events which</w:t>
      </w:r>
      <w:proofErr w:type="gramEnd"/>
      <w:r w:rsidRPr="00937A49">
        <w:rPr>
          <w:rFonts w:eastAsiaTheme="minorHAnsi" w:cstheme="minorBidi"/>
          <w:lang w:eastAsia="en-US"/>
        </w:rPr>
        <w:t xml:space="preserve"> were a necessary piece of work for support, stability, performance, code fixes and future projects. Each</w:t>
      </w:r>
      <w:r w:rsidRPr="00937A49">
        <w:rPr>
          <w:rFonts w:ascii="Calibri" w:eastAsia="Calibri" w:hAnsi="Calibri"/>
          <w:lang w:eastAsia="en-US"/>
        </w:rPr>
        <w:t xml:space="preserve"> Cerner Connectivity Engines</w:t>
      </w:r>
      <w:r w:rsidRPr="00937A49">
        <w:rPr>
          <w:rFonts w:eastAsiaTheme="minorHAnsi" w:cstheme="minorBidi"/>
          <w:lang w:eastAsia="en-US"/>
        </w:rPr>
        <w:t xml:space="preserve"> (CCE) and unique device type needs to be tested.  </w:t>
      </w:r>
    </w:p>
    <w:p w:rsidR="00643027" w:rsidRPr="00937A49" w:rsidRDefault="00643027" w:rsidP="00643027">
      <w:pPr>
        <w:spacing w:after="200"/>
        <w:jc w:val="both"/>
        <w:rPr>
          <w:rFonts w:eastAsia="Calibri" w:cstheme="minorBidi"/>
          <w:lang w:eastAsia="en-US"/>
        </w:rPr>
      </w:pPr>
      <w:r w:rsidRPr="00937A49">
        <w:rPr>
          <w:rFonts w:eastAsia="Calibri" w:cstheme="minorBidi"/>
          <w:lang w:eastAsia="en-US"/>
        </w:rPr>
        <w:t xml:space="preserve">The high-level scope of the project included: </w:t>
      </w:r>
    </w:p>
    <w:p w:rsidR="00643027" w:rsidRPr="00937A49" w:rsidRDefault="00643027" w:rsidP="00643027">
      <w:pPr>
        <w:numPr>
          <w:ilvl w:val="0"/>
          <w:numId w:val="1"/>
        </w:numPr>
        <w:spacing w:before="240" w:after="200" w:line="276" w:lineRule="auto"/>
        <w:contextualSpacing/>
        <w:rPr>
          <w:rFonts w:ascii="Calibri" w:eastAsia="Calibri" w:hAnsi="Calibri"/>
          <w:lang w:eastAsia="en-US"/>
        </w:rPr>
      </w:pPr>
      <w:r w:rsidRPr="00937A49">
        <w:rPr>
          <w:rFonts w:ascii="Calibri" w:eastAsia="Calibri" w:hAnsi="Calibri"/>
          <w:lang w:eastAsia="en-US"/>
        </w:rPr>
        <w:t>Hardware Upgrade - FetaLink Prod Servers in each of the Sites and FetaLink Non-Prod Servers in the HSE Data Centre (Used for Training and Testing purposes)</w:t>
      </w:r>
    </w:p>
    <w:p w:rsidR="00643027" w:rsidRPr="00937A49" w:rsidRDefault="00643027" w:rsidP="00643027">
      <w:pPr>
        <w:numPr>
          <w:ilvl w:val="0"/>
          <w:numId w:val="1"/>
        </w:numPr>
        <w:spacing w:before="240" w:after="200" w:line="276" w:lineRule="auto"/>
        <w:contextualSpacing/>
        <w:rPr>
          <w:rFonts w:ascii="Calibri" w:eastAsia="Calibri" w:hAnsi="Calibri"/>
          <w:lang w:eastAsia="en-US"/>
        </w:rPr>
      </w:pPr>
      <w:r w:rsidRPr="00937A49">
        <w:rPr>
          <w:rFonts w:ascii="Calibri" w:eastAsia="Calibri" w:hAnsi="Calibri"/>
          <w:lang w:eastAsia="en-US"/>
        </w:rPr>
        <w:t>Cerner Connectivity Engines (CCEs) upgrade from CCEs V3 to CCEs V4 (applies to both carts and whiteboards)</w:t>
      </w:r>
    </w:p>
    <w:p w:rsidR="00643027" w:rsidRPr="00937A49" w:rsidRDefault="00643027" w:rsidP="00643027">
      <w:pPr>
        <w:numPr>
          <w:ilvl w:val="0"/>
          <w:numId w:val="1"/>
        </w:numPr>
        <w:spacing w:before="240" w:after="200" w:line="276" w:lineRule="auto"/>
        <w:contextualSpacing/>
        <w:rPr>
          <w:rFonts w:ascii="Calibri" w:eastAsia="Calibri" w:hAnsi="Calibri"/>
          <w:lang w:eastAsia="en-US"/>
        </w:rPr>
      </w:pPr>
      <w:r w:rsidRPr="00937A49">
        <w:rPr>
          <w:rFonts w:ascii="Calibri" w:eastAsia="Calibri" w:hAnsi="Calibri"/>
          <w:lang w:eastAsia="en-US"/>
        </w:rPr>
        <w:t xml:space="preserve">FetaLink Application upgrade to version </w:t>
      </w:r>
      <w:r w:rsidRPr="00937A49">
        <w:rPr>
          <w:rFonts w:ascii="Calibri" w:hAnsi="Calibri"/>
        </w:rPr>
        <w:t xml:space="preserve">200.07.5 </w:t>
      </w:r>
    </w:p>
    <w:p w:rsidR="00643027" w:rsidRPr="00937A49" w:rsidRDefault="00643027" w:rsidP="00643027">
      <w:pPr>
        <w:numPr>
          <w:ilvl w:val="0"/>
          <w:numId w:val="1"/>
        </w:numPr>
        <w:spacing w:before="240" w:after="200" w:line="276" w:lineRule="auto"/>
        <w:contextualSpacing/>
        <w:rPr>
          <w:rFonts w:ascii="Calibri" w:eastAsia="Calibri" w:hAnsi="Calibri"/>
          <w:lang w:eastAsia="en-US"/>
        </w:rPr>
      </w:pPr>
      <w:r w:rsidRPr="00937A49">
        <w:rPr>
          <w:rFonts w:ascii="Calibri" w:eastAsia="Calibri" w:hAnsi="Calibri"/>
          <w:lang w:eastAsia="en-US"/>
        </w:rPr>
        <w:t>Decommissioning of old servers following go live and a period of stabilisation</w:t>
      </w:r>
    </w:p>
    <w:p w:rsidR="00643027" w:rsidRDefault="00643027" w:rsidP="00643027">
      <w:r>
        <w:t xml:space="preserve">Benefits </w:t>
      </w:r>
    </w:p>
    <w:p w:rsidR="00643027" w:rsidRPr="00643027" w:rsidRDefault="00643027" w:rsidP="00643027">
      <w:pPr>
        <w:pStyle w:val="ListParagraph"/>
        <w:numPr>
          <w:ilvl w:val="0"/>
          <w:numId w:val="4"/>
        </w:numPr>
        <w:spacing w:line="276" w:lineRule="auto"/>
        <w:cnfStyle w:val="101000000000" w:firstRow="1" w:lastRow="0" w:firstColumn="1" w:lastColumn="0" w:oddVBand="0" w:evenVBand="0" w:oddHBand="0" w:evenHBand="0" w:firstRowFirstColumn="0" w:firstRowLastColumn="0" w:lastRowFirstColumn="0" w:lastRowLastColumn="0"/>
        <w:rPr>
          <w:rFonts w:cstheme="minorHAnsi"/>
        </w:rPr>
      </w:pPr>
      <w:r w:rsidRPr="00643027">
        <w:rPr>
          <w:rFonts w:cstheme="minorHAnsi"/>
        </w:rPr>
        <w:t>Improvements in device Association / Disassociation</w:t>
      </w:r>
      <w:r w:rsidRPr="00643027">
        <w:rPr>
          <w:rFonts w:cstheme="minorHAnsi"/>
        </w:rPr>
        <w:t xml:space="preserve"> </w:t>
      </w:r>
    </w:p>
    <w:p w:rsidR="00643027" w:rsidRPr="00643027" w:rsidRDefault="00643027" w:rsidP="00643027">
      <w:pPr>
        <w:pStyle w:val="ListParagraph"/>
        <w:numPr>
          <w:ilvl w:val="0"/>
          <w:numId w:val="3"/>
        </w:numPr>
        <w:spacing w:after="200" w:line="276" w:lineRule="auto"/>
        <w:cnfStyle w:val="101000000000" w:firstRow="1" w:lastRow="0" w:firstColumn="1" w:lastColumn="0" w:oddVBand="0" w:evenVBand="0" w:oddHBand="0" w:evenHBand="0" w:firstRowFirstColumn="0" w:firstRowLastColumn="0" w:lastRowFirstColumn="0" w:lastRowLastColumn="0"/>
        <w:rPr>
          <w:rFonts w:cstheme="minorHAnsi"/>
        </w:rPr>
      </w:pPr>
      <w:r w:rsidRPr="00643027">
        <w:rPr>
          <w:rFonts w:cstheme="minorHAnsi"/>
        </w:rPr>
        <w:t>New conflict warning – retrospective association</w:t>
      </w:r>
    </w:p>
    <w:p w:rsidR="00643027" w:rsidRDefault="00643027" w:rsidP="00643027">
      <w:pPr>
        <w:pStyle w:val="ListParagraph"/>
        <w:numPr>
          <w:ilvl w:val="0"/>
          <w:numId w:val="3"/>
        </w:numPr>
        <w:spacing w:after="200" w:line="276" w:lineRule="auto"/>
        <w:cnfStyle w:val="101000000000" w:firstRow="1" w:lastRow="0" w:firstColumn="1" w:lastColumn="0" w:oddVBand="0" w:evenVBand="0" w:oddHBand="0" w:evenHBand="0" w:firstRowFirstColumn="0" w:firstRowLastColumn="0" w:lastRowFirstColumn="0" w:lastRowLastColumn="0"/>
        <w:rPr>
          <w:rFonts w:cstheme="minorHAnsi"/>
        </w:rPr>
      </w:pPr>
      <w:r w:rsidRPr="00643027">
        <w:rPr>
          <w:rFonts w:cstheme="minorHAnsi"/>
        </w:rPr>
        <w:t>‘Archive View’ enables comparison between current and previously finalised episodes</w:t>
      </w:r>
    </w:p>
    <w:p w:rsidR="00643027" w:rsidRPr="00643027" w:rsidRDefault="00643027" w:rsidP="00643027">
      <w:pPr>
        <w:pStyle w:val="ListParagraph"/>
        <w:numPr>
          <w:ilvl w:val="0"/>
          <w:numId w:val="3"/>
        </w:numPr>
        <w:spacing w:after="200" w:line="276" w:lineRule="auto"/>
        <w:cnfStyle w:val="101000000000" w:firstRow="1" w:lastRow="0" w:firstColumn="1" w:lastColumn="0" w:oddVBand="0" w:evenVBand="0" w:oddHBand="0" w:evenHBand="0" w:firstRowFirstColumn="0" w:firstRowLastColumn="0" w:lastRowFirstColumn="0" w:lastRowLastColumn="0"/>
        <w:rPr>
          <w:rFonts w:cstheme="minorHAnsi"/>
        </w:rPr>
      </w:pPr>
      <w:r w:rsidRPr="00643027">
        <w:rPr>
          <w:rFonts w:cstheme="minorHAnsi"/>
        </w:rPr>
        <w:t xml:space="preserve">Auto </w:t>
      </w:r>
      <w:r>
        <w:rPr>
          <w:rFonts w:cstheme="minorHAnsi"/>
        </w:rPr>
        <w:t xml:space="preserve">Finalise rule </w:t>
      </w:r>
      <w:r w:rsidRPr="00643027">
        <w:rPr>
          <w:rFonts w:cstheme="minorHAnsi"/>
        </w:rPr>
        <w:t>- Disassociation when finalising CTG</w:t>
      </w:r>
      <w:r w:rsidRPr="00643027">
        <w:rPr>
          <w:rFonts w:cstheme="minorHAnsi"/>
        </w:rPr>
        <w:t xml:space="preserve"> </w:t>
      </w:r>
      <w:r w:rsidRPr="008B420D">
        <w:rPr>
          <w:rFonts w:cstheme="minorHAnsi"/>
        </w:rPr>
        <w:t>ensures disassociated CTGs are finalised within 24 hours</w:t>
      </w:r>
    </w:p>
    <w:p w:rsidR="00643027" w:rsidRPr="00643027" w:rsidRDefault="00643027" w:rsidP="00643027">
      <w:pPr>
        <w:pStyle w:val="ListParagraph"/>
        <w:numPr>
          <w:ilvl w:val="0"/>
          <w:numId w:val="3"/>
        </w:numPr>
        <w:spacing w:after="200" w:line="276" w:lineRule="auto"/>
        <w:cnfStyle w:val="101000000000" w:firstRow="1" w:lastRow="0" w:firstColumn="1" w:lastColumn="0" w:oddVBand="0" w:evenVBand="0" w:oddHBand="0" w:evenHBand="0" w:firstRowFirstColumn="0" w:firstRowLastColumn="0" w:lastRowFirstColumn="0" w:lastRowLastColumn="0"/>
        <w:rPr>
          <w:rFonts w:cstheme="minorHAnsi"/>
        </w:rPr>
      </w:pPr>
      <w:r w:rsidRPr="00643027">
        <w:rPr>
          <w:rFonts w:cstheme="minorHAnsi"/>
        </w:rPr>
        <w:t xml:space="preserve">PDF enhancements – Foetal hearts tracing for multiple pregnancies </w:t>
      </w:r>
      <w:proofErr w:type="gramStart"/>
      <w:r w:rsidRPr="00643027">
        <w:rPr>
          <w:rFonts w:cstheme="minorHAnsi"/>
        </w:rPr>
        <w:t>are displayed</w:t>
      </w:r>
      <w:proofErr w:type="gramEnd"/>
      <w:r w:rsidRPr="00643027">
        <w:rPr>
          <w:rFonts w:cstheme="minorHAnsi"/>
        </w:rPr>
        <w:t xml:space="preserve"> separately.  </w:t>
      </w:r>
    </w:p>
    <w:p w:rsidR="00643027" w:rsidRPr="00643027" w:rsidRDefault="00643027" w:rsidP="00643027">
      <w:pPr>
        <w:pStyle w:val="ListParagraph"/>
        <w:numPr>
          <w:ilvl w:val="0"/>
          <w:numId w:val="3"/>
        </w:numPr>
        <w:spacing w:after="200" w:line="276" w:lineRule="auto"/>
        <w:cnfStyle w:val="101000000000" w:firstRow="1" w:lastRow="0" w:firstColumn="1" w:lastColumn="0" w:oddVBand="0" w:evenVBand="0" w:oddHBand="0" w:evenHBand="0" w:firstRowFirstColumn="0" w:firstRowLastColumn="0" w:lastRowFirstColumn="0" w:lastRowLastColumn="0"/>
        <w:rPr>
          <w:rFonts w:cstheme="minorHAnsi"/>
          <w:b/>
        </w:rPr>
      </w:pPr>
      <w:r w:rsidRPr="00643027">
        <w:rPr>
          <w:rFonts w:cstheme="minorHAnsi"/>
        </w:rPr>
        <w:t xml:space="preserve">CTGs are default stored as a PDF within the patient chart in the </w:t>
      </w:r>
      <w:proofErr w:type="spellStart"/>
      <w:r>
        <w:rPr>
          <w:rFonts w:cstheme="minorHAnsi"/>
        </w:rPr>
        <w:t>MultiM</w:t>
      </w:r>
      <w:r w:rsidRPr="00643027">
        <w:rPr>
          <w:rFonts w:cstheme="minorHAnsi"/>
        </w:rPr>
        <w:t>edia</w:t>
      </w:r>
      <w:proofErr w:type="spellEnd"/>
      <w:r w:rsidRPr="00643027">
        <w:rPr>
          <w:rFonts w:cstheme="minorHAnsi"/>
        </w:rPr>
        <w:t xml:space="preserve"> Manager section of the Main Menu once they have been archived  </w:t>
      </w:r>
    </w:p>
    <w:p w:rsidR="00643027" w:rsidRPr="00643027" w:rsidRDefault="00643027" w:rsidP="00643027">
      <w:pPr>
        <w:pStyle w:val="ListParagraph"/>
        <w:numPr>
          <w:ilvl w:val="0"/>
          <w:numId w:val="3"/>
        </w:numPr>
        <w:spacing w:after="200" w:line="276" w:lineRule="auto"/>
        <w:cnfStyle w:val="101000000000" w:firstRow="1" w:lastRow="0" w:firstColumn="1" w:lastColumn="0" w:oddVBand="0" w:evenVBand="0" w:oddHBand="0" w:evenHBand="0" w:firstRowFirstColumn="0" w:firstRowLastColumn="0" w:lastRowFirstColumn="0" w:lastRowLastColumn="0"/>
        <w:rPr>
          <w:rFonts w:cstheme="minorHAnsi"/>
          <w:b/>
        </w:rPr>
      </w:pPr>
      <w:r w:rsidRPr="00643027">
        <w:rPr>
          <w:rFonts w:cstheme="minorHAnsi"/>
        </w:rPr>
        <w:t>Display is enhanced : border box around historical strips</w:t>
      </w:r>
      <w:r w:rsidRPr="00643027">
        <w:rPr>
          <w:rFonts w:cstheme="minorHAnsi"/>
        </w:rPr>
        <w:t xml:space="preserve"> </w:t>
      </w:r>
    </w:p>
    <w:p w:rsidR="00643027" w:rsidRPr="00643027" w:rsidRDefault="00643027" w:rsidP="00643027">
      <w:pPr>
        <w:pStyle w:val="ListParagraph"/>
        <w:numPr>
          <w:ilvl w:val="0"/>
          <w:numId w:val="3"/>
        </w:numPr>
        <w:spacing w:after="200" w:line="276" w:lineRule="auto"/>
        <w:cnfStyle w:val="101000000000" w:firstRow="1" w:lastRow="0" w:firstColumn="1" w:lastColumn="0" w:oddVBand="0" w:evenVBand="0" w:oddHBand="0" w:evenHBand="0" w:firstRowFirstColumn="0" w:firstRowLastColumn="0" w:lastRowFirstColumn="0" w:lastRowLastColumn="0"/>
        <w:rPr>
          <w:rFonts w:cstheme="minorHAnsi"/>
          <w:b/>
        </w:rPr>
      </w:pPr>
      <w:r w:rsidRPr="008B420D">
        <w:rPr>
          <w:rFonts w:cstheme="minorHAnsi"/>
        </w:rPr>
        <w:t>Display of containers for alerting locations when viewing 9 monitored locations</w:t>
      </w:r>
    </w:p>
    <w:p w:rsidR="00643027" w:rsidRPr="00937A49" w:rsidRDefault="00643027" w:rsidP="00643027"/>
    <w:p w:rsidR="00C81468" w:rsidRDefault="00C81468"/>
    <w:sectPr w:rsidR="00C814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A1F38"/>
    <w:multiLevelType w:val="hybridMultilevel"/>
    <w:tmpl w:val="BF86EDD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E8633F1"/>
    <w:multiLevelType w:val="hybridMultilevel"/>
    <w:tmpl w:val="D62297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C521D87"/>
    <w:multiLevelType w:val="hybridMultilevel"/>
    <w:tmpl w:val="EAB493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91928D4"/>
    <w:multiLevelType w:val="multilevel"/>
    <w:tmpl w:val="E7BCA8F0"/>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1286"/>
        </w:tabs>
        <w:ind w:left="1286" w:hanging="576"/>
      </w:pPr>
      <w:rPr>
        <w:rFonts w:asciiTheme="majorHAnsi" w:hAnsiTheme="majorHAnsi" w:hint="default"/>
        <w:b/>
        <w:i w:val="0"/>
        <w:color w:val="auto"/>
        <w:sz w:val="32"/>
        <w:szCs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27"/>
    <w:rsid w:val="00643027"/>
    <w:rsid w:val="00C814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0004"/>
  <w15:chartTrackingRefBased/>
  <w15:docId w15:val="{5942B098-8C24-4C30-B38B-36BD8DF7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027"/>
    <w:pPr>
      <w:spacing w:after="0" w:line="240" w:lineRule="auto"/>
    </w:pPr>
    <w:rPr>
      <w:rFonts w:eastAsia="Times New Roman" w:cs="Times New Roman"/>
      <w:lang w:eastAsia="en-IE"/>
    </w:rPr>
  </w:style>
  <w:style w:type="paragraph" w:styleId="Heading1">
    <w:name w:val="heading 1"/>
    <w:basedOn w:val="Normal"/>
    <w:next w:val="Normal"/>
    <w:link w:val="Heading1Char"/>
    <w:qFormat/>
    <w:rsid w:val="00643027"/>
    <w:pPr>
      <w:keepNext/>
      <w:keepLines/>
      <w:numPr>
        <w:numId w:val="2"/>
      </w:numPr>
      <w:spacing w:before="480"/>
      <w:outlineLvl w:val="0"/>
    </w:pPr>
    <w:rPr>
      <w:rFonts w:eastAsiaTheme="majorEastAsia" w:cstheme="majorBidi"/>
      <w:b/>
      <w:bCs/>
      <w:color w:val="171A40"/>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027"/>
    <w:rPr>
      <w:rFonts w:eastAsiaTheme="majorEastAsia" w:cstheme="majorBidi"/>
      <w:b/>
      <w:bCs/>
      <w:color w:val="171A40"/>
      <w:sz w:val="36"/>
      <w:szCs w:val="28"/>
      <w:lang w:eastAsia="en-IE"/>
    </w:rPr>
  </w:style>
  <w:style w:type="table" w:customStyle="1" w:styleId="TomsTable1">
    <w:name w:val="Tom's Table 1"/>
    <w:basedOn w:val="TableNormal"/>
    <w:uiPriority w:val="99"/>
    <w:rsid w:val="00643027"/>
    <w:pPr>
      <w:spacing w:after="0" w:line="240" w:lineRule="auto"/>
    </w:pPr>
    <w:tblPr>
      <w:jc w:val="center"/>
      <w:tblBorders>
        <w:top w:val="single" w:sz="8" w:space="0" w:color="6788A7"/>
        <w:left w:val="single" w:sz="8" w:space="0" w:color="6788A7"/>
        <w:bottom w:val="single" w:sz="8" w:space="0" w:color="6788A7"/>
        <w:right w:val="single" w:sz="8" w:space="0" w:color="6788A7"/>
        <w:insideH w:val="single" w:sz="8" w:space="0" w:color="6788A7"/>
        <w:insideV w:val="single" w:sz="8" w:space="0" w:color="6788A7"/>
      </w:tblBorders>
    </w:tblPr>
    <w:trPr>
      <w:jc w:val="center"/>
    </w:trPr>
    <w:tblStylePr w:type="firstRow">
      <w:rPr>
        <w:rFonts w:asciiTheme="minorHAnsi" w:hAnsiTheme="minorHAnsi"/>
        <w:b/>
        <w:bCs/>
        <w:color w:val="FFFFFF" w:themeColor="background1"/>
      </w:rPr>
      <w:tblPr/>
      <w:tcPr>
        <w:shd w:val="clear" w:color="auto" w:fill="A6C7E3"/>
      </w:tcPr>
    </w:tblStylePr>
    <w:tblStylePr w:type="lastRow">
      <w:rPr>
        <w:b w:val="0"/>
        <w:bCs/>
      </w:rPr>
    </w:tblStylePr>
    <w:tblStylePr w:type="firstCol">
      <w:rPr>
        <w:b w:val="0"/>
        <w:bCs/>
      </w:rPr>
    </w:tblStylePr>
    <w:tblStylePr w:type="lastCol">
      <w:rPr>
        <w:b w:val="0"/>
        <w:bCs/>
      </w:rPr>
    </w:tblStylePr>
  </w:style>
  <w:style w:type="paragraph" w:styleId="ListParagraph">
    <w:name w:val="List Paragraph"/>
    <w:basedOn w:val="Normal"/>
    <w:uiPriority w:val="34"/>
    <w:qFormat/>
    <w:rsid w:val="00643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Mullins</dc:creator>
  <cp:keywords/>
  <dc:description/>
  <cp:lastModifiedBy>Mary Mullins</cp:lastModifiedBy>
  <cp:revision>1</cp:revision>
  <dcterms:created xsi:type="dcterms:W3CDTF">2025-02-24T12:51:00Z</dcterms:created>
  <dcterms:modified xsi:type="dcterms:W3CDTF">2025-02-24T12:59:00Z</dcterms:modified>
</cp:coreProperties>
</file>